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C2" w:rsidRDefault="00FF2DC2" w:rsidP="00FF2DC2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     </w:t>
      </w:r>
      <w:r>
        <w:rPr>
          <w:b/>
          <w:sz w:val="24"/>
          <w:szCs w:val="24"/>
        </w:rPr>
        <w:t>Class: XII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Subject: POLITICAL SCIENCE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Book prescribed: - 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BOOK1-CONTEMPORARY WORLD </w:t>
      </w:r>
      <w:proofErr w:type="gramStart"/>
      <w:r>
        <w:rPr>
          <w:b/>
          <w:sz w:val="24"/>
          <w:szCs w:val="24"/>
        </w:rPr>
        <w:t>POLITICS  {</w:t>
      </w:r>
      <w:proofErr w:type="gramEnd"/>
      <w:r>
        <w:rPr>
          <w:b/>
          <w:sz w:val="24"/>
          <w:szCs w:val="24"/>
        </w:rPr>
        <w:t>NCERT}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BOOK2-POLITICS IN INDIA SINCE INDEPENDENCE {NCERT}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Publication: NCERT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Month-wise Syllabus</w:t>
      </w:r>
    </w:p>
    <w:p w:rsidR="00FF2DC2" w:rsidRDefault="00FF2DC2" w:rsidP="00FF2DC2">
      <w:pPr>
        <w:pStyle w:val="NoSpacing"/>
      </w:pPr>
      <w:proofErr w:type="gramStart"/>
      <w:r>
        <w:rPr>
          <w:b/>
        </w:rPr>
        <w:t xml:space="preserve">Month  </w:t>
      </w:r>
      <w:r>
        <w:t xml:space="preserve">                    </w:t>
      </w:r>
      <w:r>
        <w:rPr>
          <w:b/>
        </w:rPr>
        <w:t>Chapter No.</w:t>
      </w:r>
      <w:proofErr w:type="gramEnd"/>
      <w:r>
        <w:rPr>
          <w:b/>
        </w:rPr>
        <w:t xml:space="preserve">         Chapter Title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759"/>
        <w:gridCol w:w="6496"/>
      </w:tblGrid>
      <w:tr w:rsidR="00FF2DC2" w:rsidTr="000042E9">
        <w:trPr>
          <w:trHeight w:val="378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March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The End of Bipolarity</w:t>
            </w:r>
          </w:p>
        </w:tc>
      </w:tr>
      <w:tr w:rsidR="00FF2DC2" w:rsidTr="000042E9">
        <w:trPr>
          <w:trHeight w:val="7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APRIL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2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Contemporary  Centres of Power</w:t>
            </w:r>
          </w:p>
        </w:tc>
      </w:tr>
      <w:tr w:rsidR="00FF2DC2" w:rsidTr="000042E9">
        <w:trPr>
          <w:trHeight w:val="378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3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Challenges of Nation- Building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MAY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4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Contemporary South Asia</w:t>
            </w:r>
          </w:p>
        </w:tc>
      </w:tr>
      <w:tr w:rsidR="00FF2DC2" w:rsidTr="000042E9">
        <w:trPr>
          <w:trHeight w:val="17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5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Era of one party dominance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JULY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6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International Organizations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7</w:t>
            </w:r>
          </w:p>
        </w:tc>
        <w:tc>
          <w:tcPr>
            <w:tcW w:w="6496" w:type="dxa"/>
          </w:tcPr>
          <w:p w:rsidR="00FF2DC2" w:rsidRDefault="001A77C7" w:rsidP="000042E9">
            <w:pPr>
              <w:pStyle w:val="NoSpacing"/>
            </w:pPr>
            <w:r>
              <w:t>Politics of Planned</w:t>
            </w:r>
            <w:r w:rsidR="00FF2DC2">
              <w:t xml:space="preserve"> Development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8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India’s External Relation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9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Security in contemporary world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AUGUST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10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 xml:space="preserve">Challenges to and restoration of congress system 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11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Environment and Natural Resources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12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The Crises of democratic order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Pr="00492FB1" w:rsidRDefault="00FF2DC2" w:rsidP="000042E9">
            <w:pPr>
              <w:pStyle w:val="NoSpacing"/>
              <w:rPr>
                <w:highlight w:val="yellow"/>
              </w:rPr>
            </w:pPr>
            <w:r w:rsidRPr="00492FB1">
              <w:rPr>
                <w:highlight w:val="yellow"/>
              </w:rPr>
              <w:t>September</w:t>
            </w:r>
          </w:p>
        </w:tc>
        <w:tc>
          <w:tcPr>
            <w:tcW w:w="1759" w:type="dxa"/>
          </w:tcPr>
          <w:p w:rsidR="00FF2DC2" w:rsidRPr="00492FB1" w:rsidRDefault="00FF2DC2" w:rsidP="000042E9">
            <w:pPr>
              <w:pStyle w:val="NoSpacing"/>
              <w:rPr>
                <w:highlight w:val="yellow"/>
              </w:rPr>
            </w:pPr>
          </w:p>
        </w:tc>
        <w:tc>
          <w:tcPr>
            <w:tcW w:w="6496" w:type="dxa"/>
          </w:tcPr>
          <w:p w:rsidR="00FF2DC2" w:rsidRPr="00492FB1" w:rsidRDefault="00FF2DC2" w:rsidP="000042E9">
            <w:pPr>
              <w:pStyle w:val="NoSpacing"/>
              <w:rPr>
                <w:highlight w:val="yellow"/>
              </w:rPr>
            </w:pPr>
            <w:r w:rsidRPr="00492FB1">
              <w:rPr>
                <w:highlight w:val="yellow"/>
              </w:rPr>
              <w:t>Revision</w:t>
            </w:r>
          </w:p>
          <w:p w:rsidR="00FF2DC2" w:rsidRPr="00492FB1" w:rsidRDefault="00FF2DC2" w:rsidP="000042E9">
            <w:pPr>
              <w:pStyle w:val="NoSpacing"/>
              <w:rPr>
                <w:highlight w:val="yellow"/>
              </w:rPr>
            </w:pPr>
            <w:r w:rsidRPr="00492FB1">
              <w:rPr>
                <w:highlight w:val="yellow"/>
              </w:rPr>
              <w:t>Half yearly Examinations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October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13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Regional Aspiration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14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Recent Development in Indian politics</w:t>
            </w:r>
          </w:p>
        </w:tc>
      </w:tr>
      <w:tr w:rsidR="00FF2DC2" w:rsidTr="000042E9">
        <w:trPr>
          <w:trHeight w:val="70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  <w:r>
              <w:t>15</w:t>
            </w: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Globalisation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November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Revision</w:t>
            </w:r>
          </w:p>
          <w:p w:rsidR="00FF2DC2" w:rsidRDefault="00FF2DC2" w:rsidP="000042E9">
            <w:pPr>
              <w:pStyle w:val="NoSpacing"/>
            </w:pPr>
            <w:r>
              <w:t>Pre Board Examination 1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December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6496" w:type="dxa"/>
          </w:tcPr>
          <w:p w:rsidR="00FF2DC2" w:rsidRDefault="00FF2DC2" w:rsidP="000042E9">
            <w:pPr>
              <w:pStyle w:val="NoSpacing"/>
            </w:pPr>
            <w:r>
              <w:t>Pre Board Examination 2</w:t>
            </w:r>
          </w:p>
        </w:tc>
      </w:tr>
      <w:tr w:rsidR="00FF2DC2" w:rsidTr="000042E9">
        <w:trPr>
          <w:trHeight w:val="357"/>
        </w:trPr>
        <w:tc>
          <w:tcPr>
            <w:tcW w:w="1435" w:type="dxa"/>
          </w:tcPr>
          <w:p w:rsidR="00FF2DC2" w:rsidRDefault="00FF2DC2" w:rsidP="000042E9">
            <w:pPr>
              <w:pStyle w:val="NoSpacing"/>
            </w:pPr>
            <w:r>
              <w:t>January</w:t>
            </w:r>
          </w:p>
        </w:tc>
        <w:tc>
          <w:tcPr>
            <w:tcW w:w="1759" w:type="dxa"/>
          </w:tcPr>
          <w:p w:rsidR="00FF2DC2" w:rsidRDefault="00FF2DC2" w:rsidP="000042E9">
            <w:pPr>
              <w:pStyle w:val="NoSpacing"/>
            </w:pPr>
          </w:p>
        </w:tc>
        <w:tc>
          <w:tcPr>
            <w:tcW w:w="6496" w:type="dxa"/>
          </w:tcPr>
          <w:p w:rsidR="00FF2DC2" w:rsidRDefault="00B70BF6" w:rsidP="000042E9">
            <w:pPr>
              <w:pStyle w:val="NoSpacing"/>
            </w:pPr>
            <w:r>
              <w:t>Practical’s</w:t>
            </w:r>
          </w:p>
        </w:tc>
      </w:tr>
    </w:tbl>
    <w:p w:rsidR="00FF2DC2" w:rsidRDefault="00FF2DC2" w:rsidP="00FF2DC2">
      <w:pPr>
        <w:pStyle w:val="NoSpacing"/>
        <w:rPr>
          <w:b/>
          <w:sz w:val="24"/>
          <w:szCs w:val="24"/>
        </w:rPr>
      </w:pPr>
      <w:bookmarkStart w:id="0" w:name="_GoBack"/>
      <w:bookmarkEnd w:id="0"/>
      <w:r>
        <w:br/>
      </w:r>
      <w:r>
        <w:rPr>
          <w:b/>
          <w:sz w:val="24"/>
          <w:szCs w:val="24"/>
        </w:rPr>
        <w:t xml:space="preserve">PT 1: Syllabus Chapter 1 </w:t>
      </w:r>
      <w:r>
        <w:t>The End of Bipolarity</w:t>
      </w:r>
      <w:proofErr w:type="gramStart"/>
      <w:r>
        <w:rPr>
          <w:b/>
          <w:sz w:val="24"/>
          <w:szCs w:val="24"/>
        </w:rPr>
        <w:t>,  2</w:t>
      </w:r>
      <w:proofErr w:type="gramEnd"/>
      <w:r w:rsidRPr="00A87901">
        <w:t xml:space="preserve"> </w:t>
      </w:r>
      <w:r>
        <w:t xml:space="preserve">Contemporary  Centres of Power &amp; 3. Challenges of Nation – Building 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Half Yearly Syllabus - Chapter 1 to 10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PB 1: Syllabus Chapter 1 to 15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PB 2: Complete syllabus</w:t>
      </w:r>
    </w:p>
    <w:p w:rsidR="00FF2DC2" w:rsidRDefault="00FF2DC2" w:rsidP="00FF2DC2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DELETED CHAPTER: THE COLD WAR ERA &amp; PARTY SYSTEM IN INDIA.</w:t>
      </w:r>
      <w:proofErr w:type="gramEnd"/>
    </w:p>
    <w:p w:rsidR="00FF2DC2" w:rsidRDefault="00FF2DC2" w:rsidP="00FF2DC2">
      <w:pPr>
        <w:pStyle w:val="NoSpacing"/>
      </w:pPr>
    </w:p>
    <w:p w:rsidR="00FF2DC2" w:rsidRDefault="00FF2DC2" w:rsidP="00FF2DC2">
      <w:pPr>
        <w:pStyle w:val="NoSpacing"/>
      </w:pPr>
    </w:p>
    <w:p w:rsidR="007D2105" w:rsidRPr="00FF2DC2" w:rsidRDefault="007D2105" w:rsidP="00FF2DC2"/>
    <w:sectPr w:rsidR="007D2105" w:rsidRPr="00FF2DC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05"/>
    <w:rsid w:val="00087720"/>
    <w:rsid w:val="000B7269"/>
    <w:rsid w:val="000C7EA5"/>
    <w:rsid w:val="001A77C7"/>
    <w:rsid w:val="00212E6E"/>
    <w:rsid w:val="00250E64"/>
    <w:rsid w:val="004A24FE"/>
    <w:rsid w:val="0054377A"/>
    <w:rsid w:val="007D2105"/>
    <w:rsid w:val="008031B9"/>
    <w:rsid w:val="00A87901"/>
    <w:rsid w:val="00B70BF6"/>
    <w:rsid w:val="00C86230"/>
    <w:rsid w:val="00F4553D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3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9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2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3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9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HdQUa4EWriUIQgWWF44ryCBfw==">CgMxLjA4AHIhMWJicTZ0QUJIZGJQMjBjMmJlejVSb0VJS21yRnRxcHdV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VIAANSH TIWARI</dc:creator>
  <cp:lastModifiedBy>Windows User</cp:lastModifiedBy>
  <cp:revision>4</cp:revision>
  <dcterms:created xsi:type="dcterms:W3CDTF">2025-05-07T11:26:00Z</dcterms:created>
  <dcterms:modified xsi:type="dcterms:W3CDTF">2025-05-07T11:30:00Z</dcterms:modified>
</cp:coreProperties>
</file>