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-426719</wp:posOffset>
            </wp:positionH>
            <wp:positionV relativeFrom="paragraph">
              <wp:posOffset>0</wp:posOffset>
            </wp:positionV>
            <wp:extent cx="548640" cy="778510"/>
            <wp:effectExtent b="0" l="0" r="0" t="0"/>
            <wp:wrapSquare wrapText="bothSides" distB="0" distT="0" distL="114300" distR="114300"/>
            <wp:docPr id="19899189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78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Modern School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Class: XI               Subject: Mathematics(041)              Session :2025-2026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6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Book Prescribed:  Mathematics by M . L. Aggarwal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Month-wise Syllabus</w:t>
      </w:r>
    </w:p>
    <w:tbl>
      <w:tblPr>
        <w:tblStyle w:val="Table1"/>
        <w:tblW w:w="760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3"/>
        <w:gridCol w:w="1823"/>
        <w:gridCol w:w="4542"/>
        <w:tblGridChange w:id="0">
          <w:tblGrid>
            <w:gridCol w:w="1243"/>
            <w:gridCol w:w="1823"/>
            <w:gridCol w:w="4542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 Title</w:t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1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2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5</w:t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spacing w:after="150" w:before="15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Sets 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50" w:before="15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 Relations and functions 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50" w:before="15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Linear inequalities 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Trigonometric functions, </w:t>
            </w:r>
          </w:p>
          <w:p w:rsidR="00000000" w:rsidDel="00000000" w:rsidP="00000000" w:rsidRDefault="00000000" w:rsidRPr="00000000" w14:paraId="0000001C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Complex numbers and Quadratic equations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6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7</w:t>
            </w:r>
          </w:p>
        </w:tc>
        <w:tc>
          <w:tcPr/>
          <w:p w:rsidR="00000000" w:rsidDel="00000000" w:rsidP="00000000" w:rsidRDefault="00000000" w:rsidRPr="00000000" w14:paraId="00000021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permutations and combinations </w:t>
            </w:r>
          </w:p>
          <w:p w:rsidR="00000000" w:rsidDel="00000000" w:rsidP="00000000" w:rsidRDefault="00000000" w:rsidRPr="00000000" w14:paraId="00000022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Binomial Theorem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sequence and series </w:t>
            </w:r>
          </w:p>
          <w:p w:rsidR="00000000" w:rsidDel="00000000" w:rsidP="00000000" w:rsidRDefault="00000000" w:rsidRPr="00000000" w14:paraId="00000029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Introduction to Three-dimensional Geometry</w:t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Revision and half yearly exams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9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10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Straight Lines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Conic sections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12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13</w:t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 Limits and Derivatives </w:t>
            </w:r>
          </w:p>
          <w:p w:rsidR="00000000" w:rsidDel="00000000" w:rsidP="00000000" w:rsidRDefault="00000000" w:rsidRPr="00000000" w14:paraId="00000037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Statistics 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14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4"/>
              <w:shd w:fill="ffffff" w:val="clear"/>
              <w:spacing w:after="150" w:before="150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  <w:t xml:space="preserve">Probability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Revision of Annual exams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Style w:val="Heading4"/>
              <w:shd w:fill="ffffff" w:val="clear"/>
              <w:spacing w:after="150" w:before="150" w:lineRule="auto"/>
              <w:rPr>
                <w:b w:val="0"/>
                <w:color w:val="333333"/>
              </w:rPr>
            </w:pPr>
            <w:r w:rsidDel="00000000" w:rsidR="00000000" w:rsidRPr="00000000">
              <w:rPr>
                <w:b w:val="0"/>
                <w:color w:val="333333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 Principle of Mathematical Induction (Not to be Assessed)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843"/>
        <w:gridCol w:w="4394"/>
        <w:tblGridChange w:id="0">
          <w:tblGrid>
            <w:gridCol w:w="1838"/>
            <w:gridCol w:w="1843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SYLLABUS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Ch-1 Sets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Ch-2 Relations and Functions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Ch-5 Linear inequalities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PT2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August 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Ch-3 Trigonometric functions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Ch-4 complex numbers and quadratic equations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Ch-6 permutations and combinations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Half-yearly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September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Ch-1 sets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Ch-2 relations and functions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Ch-3 trigonometric functions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Ch-4 complex numbers and Quadra equations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Ch-5 linear inequalities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Ch-6 permutations and combinations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Ch-7 Binomial theorem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Ch-8 Sequence and series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Ch-11 three dimensional geometry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PT3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November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Ch-9 straight lines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Ch-10 Conic sections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PT4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December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Ch-12 limits and derivatives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Ch-13 statistics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Annual exams 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February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Full syllabus 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Prepared by : Ms. Priyanka vadhera                     </w:t>
      </w:r>
    </w:p>
    <w:sectPr>
      <w:pgSz w:h="1584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694A"/>
  </w:style>
  <w:style w:type="paragraph" w:styleId="Heading4">
    <w:name w:val="heading 4"/>
    <w:basedOn w:val="Normal"/>
    <w:link w:val="Heading4Char"/>
    <w:uiPriority w:val="9"/>
    <w:qFormat w:val="1"/>
    <w:rsid w:val="0069438A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69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694A"/>
  </w:style>
  <w:style w:type="table" w:styleId="TableGrid">
    <w:name w:val="Table Grid"/>
    <w:basedOn w:val="TableNormal"/>
    <w:uiPriority w:val="39"/>
    <w:rsid w:val="00D16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D1694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D1694A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D1694A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rsid w:val="006943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NoSpacing">
    <w:name w:val="No Spacing"/>
    <w:uiPriority w:val="1"/>
    <w:qFormat w:val="1"/>
    <w:rsid w:val="008E100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732vDzASI82QH/H/m2/Z/VrjA==">CgMxLjA4AHIhMUhYS2dDVGVtYmNUM2Nhc0d5Z2laV3U5a3lCaXQyb1NJ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2025-03-05T08:53:00Z</dcterms:created>
  <dc:creator>Admin</dc:creator>
</cp:coreProperties>
</file>